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50"/>
          <w:szCs w:val="50"/>
        </w:rPr>
      </w:pPr>
      <w:bookmarkStart w:colFirst="0" w:colLast="0" w:name="_tepmkomqnasc" w:id="0"/>
      <w:bookmarkEnd w:id="0"/>
      <w:r w:rsidDel="00000000" w:rsidR="00000000" w:rsidRPr="00000000">
        <w:rPr>
          <w:sz w:val="50"/>
          <w:szCs w:val="50"/>
          <w:rtl w:val="0"/>
        </w:rPr>
        <w:t xml:space="preserve">Good Food Network Leadership Group</w:t>
      </w:r>
    </w:p>
    <w:p w:rsidR="00000000" w:rsidDel="00000000" w:rsidP="00000000" w:rsidRDefault="00000000" w:rsidRPr="00000000" w14:paraId="00000002">
      <w:pPr>
        <w:pStyle w:val="Title"/>
        <w:rPr>
          <w:sz w:val="50"/>
          <w:szCs w:val="50"/>
        </w:rPr>
      </w:pPr>
      <w:bookmarkStart w:colFirst="0" w:colLast="0" w:name="_gjdgxs" w:id="1"/>
      <w:bookmarkEnd w:id="1"/>
      <w:r w:rsidDel="00000000" w:rsidR="00000000" w:rsidRPr="00000000">
        <w:rPr>
          <w:sz w:val="50"/>
          <w:szCs w:val="50"/>
          <w:rtl w:val="0"/>
        </w:rPr>
        <w:t xml:space="preserve">Working </w:t>
      </w:r>
      <w:r w:rsidDel="00000000" w:rsidR="00000000" w:rsidRPr="00000000">
        <w:rPr>
          <w:sz w:val="50"/>
          <w:szCs w:val="50"/>
          <w:rtl w:val="0"/>
        </w:rPr>
        <w:t xml:space="preserve">Terms of Reference: </w:t>
      </w:r>
    </w:p>
    <w:p w:rsidR="00000000" w:rsidDel="00000000" w:rsidP="00000000" w:rsidRDefault="00000000" w:rsidRPr="00000000" w14:paraId="00000003">
      <w:pPr>
        <w:pStyle w:val="Heading1"/>
        <w:rPr>
          <w:color w:val="000000"/>
        </w:rPr>
      </w:pPr>
      <w:r w:rsidDel="00000000" w:rsidR="00000000" w:rsidRPr="00000000">
        <w:rPr>
          <w:color w:val="000000"/>
          <w:rtl w:val="0"/>
        </w:rPr>
        <w:t xml:space="preserve">Overview</w:t>
      </w:r>
    </w:p>
    <w:p w:rsidR="00000000" w:rsidDel="00000000" w:rsidP="00000000" w:rsidRDefault="00000000" w:rsidRPr="00000000" w14:paraId="00000004">
      <w:pPr>
        <w:rPr/>
      </w:pPr>
      <w:r w:rsidDel="00000000" w:rsidR="00000000" w:rsidRPr="00000000">
        <w:rPr>
          <w:rtl w:val="0"/>
        </w:rPr>
        <w:t xml:space="preserve">The </w:t>
      </w:r>
      <w:r w:rsidDel="00000000" w:rsidR="00000000" w:rsidRPr="00000000">
        <w:rPr>
          <w:rtl w:val="0"/>
        </w:rPr>
        <w:t xml:space="preserve">Good Food Network Leadership Group provides leadership capacity, guidance and support to the Good Food Network.  It also advises CRFAIR as the Backbone Organization of the Good Food Network. The Leadership Group functions at the highest level, acting as a point of reflection to ensure the Good Food Network and its network of individuals and organizations is efficiently and effectively working to achieve the ambitious goals of the Good Food 2025 Strategy.  </w:t>
      </w:r>
    </w:p>
    <w:p w:rsidR="00000000" w:rsidDel="00000000" w:rsidP="00000000" w:rsidRDefault="00000000" w:rsidRPr="00000000" w14:paraId="00000005">
      <w:pPr>
        <w:pStyle w:val="Heading1"/>
        <w:rPr>
          <w:color w:val="000000"/>
        </w:rPr>
      </w:pPr>
      <w:r w:rsidDel="00000000" w:rsidR="00000000" w:rsidRPr="00000000">
        <w:rPr>
          <w:color w:val="000000"/>
          <w:rtl w:val="0"/>
        </w:rPr>
        <w:t xml:space="preserve">Key Responsibilities</w:t>
      </w:r>
    </w:p>
    <w:p w:rsidR="00000000" w:rsidDel="00000000" w:rsidP="00000000" w:rsidRDefault="00000000" w:rsidRPr="00000000" w14:paraId="00000006">
      <w:pPr>
        <w:rPr/>
      </w:pPr>
      <w:r w:rsidDel="00000000" w:rsidR="00000000" w:rsidRPr="00000000">
        <w:rPr>
          <w:rtl w:val="0"/>
        </w:rPr>
        <w:t xml:space="preserve">Members of the Leadership Group:</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b w:val="1"/>
          <w:i w:val="0"/>
          <w:smallCaps w:val="0"/>
          <w:strike w:val="0"/>
          <w:sz w:val="22"/>
          <w:szCs w:val="22"/>
          <w:u w:val="none"/>
          <w:shd w:fill="auto" w:val="clear"/>
          <w:vertAlign w:val="baseline"/>
          <w:rtl w:val="0"/>
        </w:rPr>
        <w:t xml:space="preserve">Provide strategic guidance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for the Good Food Network on strategy, community engagement, and shared measurement. This includes: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Supporting the development and refinement </w:t>
      </w:r>
      <w:r w:rsidDel="00000000" w:rsidR="00000000" w:rsidRPr="00000000">
        <w:rPr>
          <w:rtl w:val="0"/>
        </w:rPr>
        <w:t xml:space="preserve">of our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common agenda for change</w:t>
      </w:r>
      <w:r w:rsidDel="00000000" w:rsidR="00000000" w:rsidRPr="00000000">
        <w:rPr>
          <w:rtl w:val="0"/>
        </w:rPr>
        <w:t xml:space="preserve"> set out in Good Food 2025</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Provide direction and support to the Food Metrics Working group on</w:t>
      </w:r>
      <w:r w:rsidDel="00000000" w:rsidR="00000000" w:rsidRPr="00000000">
        <w:rPr>
          <w:rtl w:val="0"/>
        </w:rPr>
        <w:t xml:space="preserve"> developing 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shared measurement system  </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Work with CRFAIR as the backbone organization supporting the ongoing development of the Good Food Network as well as with other organizations that support key Good Food 2025 Strategies such as FoodShare Network.</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Identify and 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nc</w:t>
      </w:r>
      <w:r w:rsidDel="00000000" w:rsidR="00000000" w:rsidRPr="00000000">
        <w:rPr>
          <w:rFonts w:ascii="Calibri" w:cs="Calibri" w:eastAsia="Calibri" w:hAnsi="Calibri"/>
          <w:b w:val="0"/>
          <w:smallCaps w:val="0"/>
          <w:strike w:val="0"/>
          <w:sz w:val="22"/>
          <w:szCs w:val="22"/>
          <w:u w:val="none"/>
          <w:shd w:fill="auto" w:val="clear"/>
          <w:vertAlign w:val="baseline"/>
          <w:rtl w:val="0"/>
        </w:rPr>
        <w:t xml:space="preserve">ourag</w:t>
      </w:r>
      <w:r w:rsidDel="00000000" w:rsidR="00000000" w:rsidRPr="00000000">
        <w:rPr>
          <w:rtl w:val="0"/>
        </w:rPr>
        <w:t xml:space="preserve">e</w:t>
      </w:r>
      <w:r w:rsidDel="00000000" w:rsidR="00000000" w:rsidRPr="00000000">
        <w:rPr>
          <w:rFonts w:ascii="Calibri" w:cs="Calibri" w:eastAsia="Calibri" w:hAnsi="Calibri"/>
          <w:b w:val="0"/>
          <w:smallCaps w:val="0"/>
          <w:strike w:val="0"/>
          <w:sz w:val="22"/>
          <w:szCs w:val="22"/>
          <w:u w:val="none"/>
          <w:shd w:fill="auto" w:val="clear"/>
          <w:vertAlign w:val="baseline"/>
          <w:rtl w:val="0"/>
        </w:rPr>
        <w:t xml:space="preserve"> appropriate organizations to join the </w:t>
      </w:r>
      <w:r w:rsidDel="00000000" w:rsidR="00000000" w:rsidRPr="00000000">
        <w:rPr>
          <w:rFonts w:ascii="Calibri" w:cs="Calibri" w:eastAsia="Calibri" w:hAnsi="Calibri"/>
          <w:b w:val="0"/>
          <w:smallCaps w:val="0"/>
          <w:strike w:val="0"/>
          <w:sz w:val="22"/>
          <w:szCs w:val="22"/>
          <w:u w:val="none"/>
          <w:shd w:fill="auto" w:val="clear"/>
          <w:vertAlign w:val="baseline"/>
          <w:rtl w:val="0"/>
        </w:rPr>
        <w:t xml:space="preserve">Good Food </w:t>
      </w:r>
      <w:r w:rsidDel="00000000" w:rsidR="00000000" w:rsidRPr="00000000">
        <w:rPr>
          <w:rFonts w:ascii="Calibri" w:cs="Calibri" w:eastAsia="Calibri" w:hAnsi="Calibri"/>
          <w:b w:val="0"/>
          <w:smallCaps w:val="0"/>
          <w:strike w:val="0"/>
          <w:sz w:val="22"/>
          <w:szCs w:val="22"/>
          <w:u w:val="none"/>
          <w:shd w:fill="auto" w:val="clear"/>
          <w:vertAlign w:val="baseline"/>
          <w:rtl w:val="0"/>
        </w:rPr>
        <w:t xml:space="preserve">network.</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Provide input into the Annual Good Food Summit</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smallCaps w:val="0"/>
          <w:strike w:val="0"/>
          <w:sz w:val="22"/>
          <w:szCs w:val="22"/>
          <w:shd w:fill="auto" w:val="clear"/>
          <w:vertAlign w:val="baseline"/>
        </w:rPr>
      </w:pPr>
      <w:r w:rsidDel="00000000" w:rsidR="00000000" w:rsidRPr="00000000">
        <w:rPr>
          <w:rFonts w:ascii="Calibri" w:cs="Calibri" w:eastAsia="Calibri" w:hAnsi="Calibri"/>
          <w:b w:val="0"/>
          <w:smallCaps w:val="0"/>
          <w:strike w:val="0"/>
          <w:sz w:val="22"/>
          <w:szCs w:val="22"/>
          <w:u w:val="none"/>
          <w:shd w:fill="auto" w:val="clear"/>
          <w:vertAlign w:val="baseline"/>
          <w:rtl w:val="0"/>
        </w:rPr>
        <w:t xml:space="preserve">Shaping the evolution of the Good Food Network over time.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rPr>
      </w:pPr>
      <w:r w:rsidDel="00000000" w:rsidR="00000000" w:rsidRPr="00000000">
        <w:rPr>
          <w:b w:val="1"/>
          <w:i w:val="0"/>
          <w:smallCaps w:val="0"/>
          <w:strike w:val="0"/>
          <w:sz w:val="22"/>
          <w:szCs w:val="22"/>
          <w:u w:val="none"/>
          <w:shd w:fill="auto" w:val="clear"/>
          <w:vertAlign w:val="baseline"/>
          <w:rtl w:val="0"/>
        </w:rPr>
        <w:t xml:space="preserve">Provide leadership by using their sphere of influence to:</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Encourage their own organization and those in their networks to align with and support Good Food 2025 </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Serve as a vocal champion of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Good Food Network and the </w:t>
      </w:r>
      <w:r w:rsidDel="00000000" w:rsidR="00000000" w:rsidRPr="00000000">
        <w:rPr>
          <w:rtl w:val="0"/>
        </w:rPr>
        <w:t xml:space="preserve">Good Food 2025</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Strategy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the community and through their available and appropriate communication channels, strengthening the climate for collaboration.</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Communicate with levels of government and authorities in regards to issues of concern, potential policy, budgetary or planning initiatives they determine a priority in </w:t>
      </w:r>
      <w:r w:rsidDel="00000000" w:rsidR="00000000" w:rsidRPr="00000000">
        <w:rPr>
          <w:rtl w:val="0"/>
        </w:rPr>
        <w:t xml:space="preserve">synch</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with the </w:t>
      </w:r>
      <w:r w:rsidDel="00000000" w:rsidR="00000000" w:rsidRPr="00000000">
        <w:rPr>
          <w:rtl w:val="0"/>
        </w:rPr>
        <w:t xml:space="preserve">Good Food 2025 Strategy</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Mobilize resources for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Good Food Network, the backbone organization,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and the work of Good Food 2025. .This could be by leveraging their own organizations resources, if available, or speaking with other potential funders or resource providers.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rPr>
      </w:pPr>
      <w:r w:rsidDel="00000000" w:rsidR="00000000" w:rsidRPr="00000000">
        <w:rPr>
          <w:b w:val="1"/>
          <w:i w:val="0"/>
          <w:smallCaps w:val="0"/>
          <w:strike w:val="0"/>
          <w:sz w:val="22"/>
          <w:szCs w:val="22"/>
          <w:u w:val="none"/>
          <w:shd w:fill="auto" w:val="clear"/>
          <w:vertAlign w:val="baseline"/>
          <w:rtl w:val="0"/>
        </w:rPr>
        <w:t xml:space="preserve">Play an active role by:</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Attending the scheduled meetings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Reviewing materials prior to meetings and coming prepared for engaged discussion, active listening, and respectful dialogue.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Reviewing, considering,  and providing feedback on key issues and opportunities that arise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rPr>
          <w:color w:val="000000"/>
        </w:rPr>
      </w:pPr>
      <w:r w:rsidDel="00000000" w:rsidR="00000000" w:rsidRPr="00000000">
        <w:rPr>
          <w:color w:val="000000"/>
          <w:rtl w:val="0"/>
        </w:rPr>
        <w:t xml:space="preserve">Meetings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Council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will meet at least once every three months, </w:t>
      </w:r>
      <w:r w:rsidDel="00000000" w:rsidR="00000000" w:rsidRPr="00000000">
        <w:rPr>
          <w:rtl w:val="0"/>
        </w:rPr>
        <w:t xml:space="preserve">or as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required.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rPr>
          <w:color w:val="000000"/>
        </w:rPr>
      </w:pPr>
      <w:r w:rsidDel="00000000" w:rsidR="00000000" w:rsidRPr="00000000">
        <w:rPr>
          <w:color w:val="000000"/>
          <w:rtl w:val="0"/>
        </w:rPr>
        <w:t xml:space="preserve">Membership and Structure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Members are encouraged to serve a two-year term on the 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Members can serve multiple terms.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membership is voluntary and unpaid.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Membership is comprised of individuals representing an organization, or key </w:t>
      </w:r>
      <w:r w:rsidDel="00000000" w:rsidR="00000000" w:rsidRPr="00000000">
        <w:rPr>
          <w:rtl w:val="0"/>
        </w:rPr>
        <w:t xml:space="preserve">perspective and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who must be involved with the Good Food Network.</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u w:val="none"/>
        </w:rPr>
      </w:pPr>
      <w:r w:rsidDel="00000000" w:rsidR="00000000" w:rsidRPr="00000000">
        <w:rPr>
          <w:rtl w:val="0"/>
        </w:rPr>
        <w:t xml:space="preserve">New Members can be nominated by the Good Food Network members  at the Annual Good Food Summit.  After the nomination has been made the Leadership Group will consider the makeup of the table and invite the nominated person as space and sector representation allows.  The Leadership Group will announce the Leadership Group through the Good Food Network newsletter.</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While members are encouraged to serve  two-year terms, any member may leave for any reason by submitting written notice to Leadersh</w:t>
      </w:r>
      <w:r w:rsidDel="00000000" w:rsidR="00000000" w:rsidRPr="00000000">
        <w:rPr>
          <w:rtl w:val="0"/>
        </w:rPr>
        <w:t xml:space="preserve">ip Group through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Backbone Organization </w:t>
      </w:r>
      <w:r w:rsidDel="00000000" w:rsidR="00000000" w:rsidRPr="00000000">
        <w:rPr>
          <w:rtl w:val="0"/>
        </w:rPr>
        <w:t xml:space="preserve">CRFAIR.</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Two members of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Council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will be designated as Co-Chairs, serving one-year terms as a Co-Chair</w:t>
      </w:r>
      <w:r w:rsidDel="00000000" w:rsidR="00000000" w:rsidRPr="00000000">
        <w:rPr>
          <w:rtl w:val="0"/>
        </w:rPr>
        <w:t xml:space="preserve"> with an eye to having overlapping terms so that there is continuity (each year a new chair comes on to serve with an existing chair).</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Co-Chair is invited to take on the role when space becomes available. Decisions on who to designate are made by the standing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at that time.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role of the Co-Chairs is to:</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Provide leadership to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Act as a liaison between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the CRFAIR as the Backbone Organization as required, and work with the CRFAIR to, for example, set the agenda for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meetings, follow up with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members on action items, and act as a speaker for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when necessary.</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u w:val="none"/>
        </w:rPr>
      </w:pPr>
      <w:r w:rsidDel="00000000" w:rsidR="00000000" w:rsidRPr="00000000">
        <w:rPr>
          <w:rtl w:val="0"/>
        </w:rPr>
        <w:t xml:space="preserve">Chair Leadership Group meetings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strive for wide representation from multiple sectors within the regional food system,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Council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aims to have one representative from the following types of organizations:</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Nonprofit organization</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Funder</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Business</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Sector associations</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First Nation</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Education/Acade</w:t>
      </w:r>
      <w:r w:rsidDel="00000000" w:rsidR="00000000" w:rsidRPr="00000000">
        <w:rPr>
          <w:rtl w:val="0"/>
        </w:rPr>
        <w:t xml:space="preserve">mic</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Local government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strive for representation from the various geographic regions of the CRD , the Leadership Council aims to have one representative from the following regions : the Core, the Western Communities, the Peninsula and Gulf Islands.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tl w:val="0"/>
        </w:rPr>
        <w:t xml:space="preserve">CRFAIR, as the backbone organization supporting the Good Food Network and Good Food 2025 process, will take and distribute notes and keep records for the Leadership Group</w:t>
      </w:r>
    </w:p>
    <w:p w:rsidR="00000000" w:rsidDel="00000000" w:rsidP="00000000" w:rsidRDefault="00000000" w:rsidRPr="00000000" w14:paraId="00000031">
      <w:pPr>
        <w:pStyle w:val="Heading1"/>
        <w:rPr>
          <w:color w:val="000000"/>
        </w:rPr>
      </w:pPr>
      <w:r w:rsidDel="00000000" w:rsidR="00000000" w:rsidRPr="00000000">
        <w:rPr>
          <w:color w:val="000000"/>
          <w:rtl w:val="0"/>
        </w:rPr>
        <w:t xml:space="preserve">Decision making</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Where a decision is required from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that decision will be made as follows:</w:t>
      </w:r>
    </w:p>
    <w:p w:rsidR="00000000" w:rsidDel="00000000" w:rsidP="00000000" w:rsidRDefault="00000000" w:rsidRPr="00000000" w14:paraId="0000003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By consensus if possible. “Consensus” does not mean that every member must wholeheartedly support the decision. It does mean that everyone present</w:t>
      </w:r>
      <w:r w:rsidDel="00000000" w:rsidR="00000000" w:rsidRPr="00000000">
        <w:rPr>
          <w:rtl w:val="0"/>
        </w:rPr>
        <w:t xml:space="preserve"> is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participating in decision making by communicating any thoughts or concerns they may have, has explored various alternatives, and can live with a decision enough to support it.  We will reach a decision by asking, “does any member strongly oppose this decision?” and hearing no opposition.</w:t>
      </w:r>
    </w:p>
    <w:p w:rsidR="00000000" w:rsidDel="00000000" w:rsidP="00000000" w:rsidRDefault="00000000" w:rsidRPr="00000000" w14:paraId="0000003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there is strong opposition to a decision and consensus cannot be reached despite a respectable time limit of discussion,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can either delegate the decision to a smaller committee, or to the Backbone Organization, only in circumstances where all members agree, or the decision will be made using a majority rules approach, where a team decision will be made by a simple majority vote of greater than 50%, with each member receiving one vote.</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Any item in this Terms of Reference can be amended by a decision of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CRFAIR, as Backbone Organization, will follow the advice of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except in circumstances where the CRFAIR Board of Directors overrides (this body is the legal </w:t>
      </w:r>
      <w:r w:rsidDel="00000000" w:rsidR="00000000" w:rsidRPr="00000000">
        <w:rPr>
          <w:rtl w:val="0"/>
        </w:rPr>
        <w:t xml:space="preserve">decision making</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body for the CRFAIR).</w:t>
      </w:r>
    </w:p>
    <w:p w:rsidR="00000000" w:rsidDel="00000000" w:rsidP="00000000" w:rsidRDefault="00000000" w:rsidRPr="00000000" w14:paraId="00000037">
      <w:pPr>
        <w:pStyle w:val="Heading1"/>
        <w:rPr/>
      </w:pPr>
      <w:r w:rsidDel="00000000" w:rsidR="00000000" w:rsidRPr="00000000">
        <w:rPr>
          <w:rtl w:val="0"/>
        </w:rPr>
        <w:t xml:space="preserve">Administration &amp; Contact</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CRFAIR, in its role at Backbone Organization, </w:t>
      </w:r>
      <w:r w:rsidDel="00000000" w:rsidR="00000000" w:rsidRPr="00000000">
        <w:rPr>
          <w:rtl w:val="0"/>
        </w:rPr>
        <w:t xml:space="preserve">provides administrative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 for all Leadership </w:t>
      </w:r>
      <w:r w:rsidDel="00000000" w:rsidR="00000000" w:rsidRPr="00000000">
        <w:rPr>
          <w:rtl w:val="0"/>
        </w:rPr>
        <w:t xml:space="preserve">Group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including:</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Scheduling meetings.</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up the online infrastructure to host meetings, or organizing the venue where in-person meetings are required.</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notes during meetings.</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Circulating meetings notes after the meetings.</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questions can be direct</w:t>
      </w:r>
      <w:r w:rsidDel="00000000" w:rsidR="00000000" w:rsidRPr="00000000">
        <w:rPr>
          <w:rtl w:val="0"/>
        </w:rPr>
        <w:t xml:space="preserv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Backbone Organization through Linda Geggie, </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lgeggie@</w:t>
        </w:r>
      </w:hyperlink>
      <w:hyperlink r:id="rId7">
        <w:r w:rsidDel="00000000" w:rsidR="00000000" w:rsidRPr="00000000">
          <w:rPr>
            <w:color w:val="1155cc"/>
            <w:u w:val="single"/>
            <w:rtl w:val="0"/>
          </w:rPr>
          <w:t xml:space="preserve">crfair</w:t>
        </w:r>
      </w:hyperlink>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.net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 current Chair</w:t>
      </w:r>
      <w:r w:rsidDel="00000000" w:rsidR="00000000" w:rsidRPr="00000000">
        <w:rPr>
          <w:rtl w:val="0"/>
        </w:rPr>
        <w:t xml:space="preserve"> or co-chairs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t xml:space="preserve">TOR Good Food Network Leadership Group</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12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geggie@crfair.net" TargetMode="External"/><Relationship Id="rId7" Type="http://schemas.openxmlformats.org/officeDocument/2006/relationships/hyperlink" Target="mailto:lgeggie@crfair.net" TargetMode="External"/><Relationship Id="rId8" Type="http://schemas.openxmlformats.org/officeDocument/2006/relationships/hyperlink" Target="mailto:lgeggie@crfai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